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61C" w:rsidRPr="00C9488D" w:rsidRDefault="0055061C" w:rsidP="0055061C">
      <w:pPr>
        <w:rPr>
          <w:b/>
        </w:rPr>
      </w:pPr>
      <w:r w:rsidRPr="00C9488D">
        <w:rPr>
          <w:b/>
        </w:rPr>
        <w:t>Verteilung von Selbsttests für die Präsenzlehre</w:t>
      </w:r>
    </w:p>
    <w:p w:rsidR="0055061C" w:rsidRDefault="0055061C" w:rsidP="0055061C"/>
    <w:p w:rsidR="00214CEA" w:rsidRDefault="00214CEA" w:rsidP="00B70746">
      <w:pPr>
        <w:spacing w:before="120"/>
      </w:pPr>
      <w:r>
        <w:t>Alle Studierenden, die nicht in die Gruppe der Geimpften und Genesenen (2G) fallen, sollen für die Teilnahme an Lehrveranstaltungen in Präsenz zweimal wöchentlich (</w:t>
      </w:r>
      <w:proofErr w:type="spellStart"/>
      <w:r>
        <w:t>Mo+Mi</w:t>
      </w:r>
      <w:proofErr w:type="spellEnd"/>
      <w:r>
        <w:t xml:space="preserve"> vor Beginn der LV) Selbsttests durchführen.</w:t>
      </w:r>
    </w:p>
    <w:p w:rsidR="00214CEA" w:rsidRDefault="00214CEA" w:rsidP="00B70746">
      <w:pPr>
        <w:spacing w:before="120"/>
      </w:pPr>
      <w:r>
        <w:t xml:space="preserve">Die Selbsttests </w:t>
      </w:r>
      <w:r w:rsidR="003D6465">
        <w:t>werden</w:t>
      </w:r>
      <w:r>
        <w:t xml:space="preserve"> </w:t>
      </w:r>
      <w:r w:rsidRPr="00B70746">
        <w:rPr>
          <w:u w:val="single"/>
        </w:rPr>
        <w:t>bis zum 15.11.21 durch die Universität zur Verfügung gestellt</w:t>
      </w:r>
      <w:r>
        <w:t xml:space="preserve"> und </w:t>
      </w:r>
      <w:r w:rsidR="003D6465">
        <w:t xml:space="preserve">sollen </w:t>
      </w:r>
      <w:r>
        <w:t xml:space="preserve">eigenständig zu Hause durchgeführt werden. </w:t>
      </w:r>
    </w:p>
    <w:p w:rsidR="00214CEA" w:rsidRDefault="00214CEA" w:rsidP="00B70746">
      <w:pPr>
        <w:spacing w:before="120"/>
      </w:pPr>
      <w:r>
        <w:t xml:space="preserve">Den </w:t>
      </w:r>
      <w:r w:rsidRPr="00B70746">
        <w:rPr>
          <w:u w:val="single"/>
        </w:rPr>
        <w:t>Nachweis über die Durchführung der Selbsttests</w:t>
      </w:r>
      <w:r>
        <w:t xml:space="preserve"> erbringen die Studierenden durch eine eidesstattliche Erklärung, die sie ständig mit sich zu führen haben, sofern Sie sich in den Gebäuden der Universität aufha</w:t>
      </w:r>
      <w:bookmarkStart w:id="0" w:name="_GoBack"/>
      <w:bookmarkEnd w:id="0"/>
      <w:r>
        <w:t xml:space="preserve">lten. </w:t>
      </w:r>
    </w:p>
    <w:p w:rsidR="00214CEA" w:rsidRDefault="00214CEA" w:rsidP="00B70746">
      <w:pPr>
        <w:spacing w:before="120"/>
      </w:pPr>
      <w:r>
        <w:t xml:space="preserve">Die Selbsttests sollen für den Zeitraum bis 15.11.21 </w:t>
      </w:r>
      <w:r w:rsidRPr="00214CEA">
        <w:rPr>
          <w:u w:val="single"/>
        </w:rPr>
        <w:t>einmalig</w:t>
      </w:r>
      <w:r>
        <w:t xml:space="preserve"> zusammen mit dem </w:t>
      </w:r>
      <w:r w:rsidRPr="00B70746">
        <w:rPr>
          <w:u w:val="single"/>
        </w:rPr>
        <w:t>Formular für die eidesstattliche Erklärung der Durchführung</w:t>
      </w:r>
      <w:r>
        <w:t xml:space="preserve"> (</w:t>
      </w:r>
      <w:hyperlink r:id="rId8" w:history="1">
        <w:r w:rsidR="003D6465" w:rsidRPr="003D6465">
          <w:rPr>
            <w:rStyle w:val="Hyperlink"/>
          </w:rPr>
          <w:t>siehe Anlage 1</w:t>
        </w:r>
      </w:hyperlink>
      <w:r>
        <w:t>) durch die Fakultäten ausgehändigt werden. (D.h. die berechtigten Studierenden bekommen jeweils 11 Tests für den Zeitraum vom 11.10.-15.11.</w:t>
      </w:r>
      <w:r w:rsidR="00B70746">
        <w:t xml:space="preserve"> und es erfolgt keine Verteilung mehr über die einzelnen </w:t>
      </w:r>
      <w:r w:rsidR="000E19F2">
        <w:t>Verantwortlichen für die Präsenz-</w:t>
      </w:r>
      <w:r w:rsidR="00B70746">
        <w:t>Lehrveranstaltungen</w:t>
      </w:r>
      <w:r>
        <w:t>)</w:t>
      </w:r>
      <w:r w:rsidR="000E19F2">
        <w:t>.</w:t>
      </w:r>
    </w:p>
    <w:p w:rsidR="00B70746" w:rsidRDefault="00B70746" w:rsidP="00B70746">
      <w:pPr>
        <w:spacing w:before="120"/>
      </w:pPr>
      <w:r>
        <w:t xml:space="preserve">Für die </w:t>
      </w:r>
      <w:r w:rsidRPr="00B70746">
        <w:rPr>
          <w:u w:val="single"/>
        </w:rPr>
        <w:t>Einführungswoche</w:t>
      </w:r>
      <w:r>
        <w:t xml:space="preserve"> ist die Verteilung der Tests ggf. separat zu organisieren oder Studierende, die an der Einführungswoche teilnehmen (nur Erstsemester + </w:t>
      </w:r>
      <w:proofErr w:type="spellStart"/>
      <w:r>
        <w:t>Fachschaft+Freiwillige</w:t>
      </w:r>
      <w:proofErr w:type="spellEnd"/>
      <w:r>
        <w:t xml:space="preserve"> </w:t>
      </w:r>
      <w:proofErr w:type="spellStart"/>
      <w:proofErr w:type="gramStart"/>
      <w:r>
        <w:t>Betreuer:innen</w:t>
      </w:r>
      <w:proofErr w:type="spellEnd"/>
      <w:proofErr w:type="gramEnd"/>
      <w:r>
        <w:t xml:space="preserve">), bekommen gleich 13 Tests ausgehändigt. </w:t>
      </w:r>
    </w:p>
    <w:p w:rsidR="00B70746" w:rsidRDefault="00B70746" w:rsidP="00B70746">
      <w:pPr>
        <w:spacing w:before="120"/>
      </w:pPr>
      <w:r>
        <w:t xml:space="preserve">Es haben nur Studierende Anspruch auf die kostenlosen Tests, die nicht geimpft oder genesen sind und an Präsenzveranstaltungen teilnehmen. Da das nicht überprüft werden kann, haben die </w:t>
      </w:r>
      <w:r w:rsidR="00214CEA">
        <w:t>Studierende</w:t>
      </w:r>
      <w:r>
        <w:t>n bei der Abholung der Test</w:t>
      </w:r>
      <w:r w:rsidR="00A00F16">
        <w:t>s</w:t>
      </w:r>
      <w:r>
        <w:t xml:space="preserve"> eine entsprechende </w:t>
      </w:r>
      <w:r w:rsidR="0080341E">
        <w:t xml:space="preserve">schriftliche </w:t>
      </w:r>
      <w:r>
        <w:t xml:space="preserve">Erklärung </w:t>
      </w:r>
      <w:r w:rsidR="0049505D">
        <w:t>(</w:t>
      </w:r>
      <w:hyperlink r:id="rId9" w:history="1">
        <w:r w:rsidR="003D6465" w:rsidRPr="003D6465">
          <w:rPr>
            <w:rStyle w:val="Hyperlink"/>
          </w:rPr>
          <w:t>siehe Anlage 2</w:t>
        </w:r>
      </w:hyperlink>
      <w:r w:rsidR="0049505D">
        <w:t xml:space="preserve">) </w:t>
      </w:r>
      <w:r>
        <w:t xml:space="preserve">abzugeben. </w:t>
      </w:r>
    </w:p>
    <w:p w:rsidR="00B70746" w:rsidRDefault="00B70746" w:rsidP="00B70746">
      <w:pPr>
        <w:spacing w:before="120"/>
      </w:pPr>
      <w:r>
        <w:t xml:space="preserve">Um eine Mehrfachausgabe von Tests an Studierende zu vermeiden und eine eindeutige Zuordnung zu ermöglichen, soll die </w:t>
      </w:r>
      <w:r w:rsidRPr="000E19F2">
        <w:rPr>
          <w:u w:val="single"/>
        </w:rPr>
        <w:t>Verteilung der Tests anhand der Zuordnung zu den Fakultäten entsprechend der Statistik („Köpfe“</w:t>
      </w:r>
      <w:r>
        <w:t xml:space="preserve">, Erstfach) erfolgen. </w:t>
      </w:r>
      <w:r w:rsidR="0049505D" w:rsidRPr="002701DC">
        <w:rPr>
          <w:color w:val="FF0000"/>
        </w:rPr>
        <w:t>Für</w:t>
      </w:r>
      <w:r w:rsidR="000E19F2" w:rsidRPr="002701DC">
        <w:rPr>
          <w:color w:val="FF0000"/>
          <w:u w:val="single"/>
        </w:rPr>
        <w:t xml:space="preserve"> die Lehramtsstudierenden</w:t>
      </w:r>
      <w:r w:rsidR="000E19F2" w:rsidRPr="002701DC">
        <w:rPr>
          <w:color w:val="FF0000"/>
        </w:rPr>
        <w:t xml:space="preserve"> </w:t>
      </w:r>
      <w:r w:rsidR="0049505D" w:rsidRPr="002701DC">
        <w:rPr>
          <w:color w:val="FF0000"/>
        </w:rPr>
        <w:t xml:space="preserve">(mit Ausnahme Berufspädagogik und Wirtschaftspädagogik) </w:t>
      </w:r>
      <w:r w:rsidR="000E19F2" w:rsidRPr="002701DC">
        <w:rPr>
          <w:color w:val="FF0000"/>
        </w:rPr>
        <w:t xml:space="preserve">erfolgt die Verteilung </w:t>
      </w:r>
      <w:r w:rsidR="000E19F2" w:rsidRPr="002701DC">
        <w:rPr>
          <w:color w:val="FF0000"/>
          <w:u w:val="single"/>
        </w:rPr>
        <w:t xml:space="preserve">über </w:t>
      </w:r>
      <w:r w:rsidR="0049505D" w:rsidRPr="002701DC">
        <w:rPr>
          <w:color w:val="FF0000"/>
          <w:u w:val="single"/>
        </w:rPr>
        <w:t>das ZLB</w:t>
      </w:r>
      <w:r w:rsidR="0049505D" w:rsidRPr="002701DC">
        <w:rPr>
          <w:color w:val="FF0000"/>
        </w:rPr>
        <w:t>, da die St</w:t>
      </w:r>
      <w:r w:rsidR="000E19F2" w:rsidRPr="002701DC">
        <w:rPr>
          <w:color w:val="FF0000"/>
        </w:rPr>
        <w:t xml:space="preserve">udierenden </w:t>
      </w:r>
      <w:r w:rsidR="0049505D" w:rsidRPr="002701DC">
        <w:rPr>
          <w:color w:val="FF0000"/>
        </w:rPr>
        <w:t>über das ZPA verwaltet werden</w:t>
      </w:r>
      <w:r w:rsidR="000E19F2" w:rsidRPr="002701DC">
        <w:rPr>
          <w:color w:val="FF0000"/>
        </w:rPr>
        <w:t xml:space="preserve">. </w:t>
      </w:r>
      <w:r w:rsidR="002701DC" w:rsidRPr="002701DC">
        <w:rPr>
          <w:color w:val="FF0000"/>
        </w:rPr>
        <w:t xml:space="preserve">Für den </w:t>
      </w:r>
      <w:r w:rsidR="002701DC" w:rsidRPr="002701DC">
        <w:rPr>
          <w:color w:val="FF0000"/>
          <w:u w:val="single"/>
        </w:rPr>
        <w:t>Zwei-Fach-Bachelorstudiengang der PHF</w:t>
      </w:r>
      <w:r w:rsidR="002701DC" w:rsidRPr="002701DC">
        <w:rPr>
          <w:color w:val="FF0000"/>
        </w:rPr>
        <w:t xml:space="preserve"> wird auch für die Erstfächer Soziologie, Politikwissenschaft und Religion die Ausgabe (analog zur Prüfungsverwaltung) </w:t>
      </w:r>
      <w:r w:rsidR="002701DC" w:rsidRPr="002701DC">
        <w:rPr>
          <w:color w:val="FF0000"/>
          <w:u w:val="single"/>
        </w:rPr>
        <w:t>durch die PHF</w:t>
      </w:r>
      <w:r w:rsidR="002701DC" w:rsidRPr="002701DC">
        <w:rPr>
          <w:color w:val="FF0000"/>
        </w:rPr>
        <w:t xml:space="preserve"> übernommen</w:t>
      </w:r>
      <w:r w:rsidR="002701DC">
        <w:t xml:space="preserve">. </w:t>
      </w:r>
    </w:p>
    <w:p w:rsidR="000E19F2" w:rsidRDefault="000E19F2" w:rsidP="00B70746">
      <w:pPr>
        <w:spacing w:before="120"/>
      </w:pPr>
      <w:r>
        <w:t>Eine Überprüfung der Zuordnung der Studierenden bei der Ausgabe des Tests ist nur schwer möglich und nicht zwingend erforderlich</w:t>
      </w:r>
      <w:r w:rsidR="0080341E">
        <w:t>,</w:t>
      </w:r>
      <w:r>
        <w:t xml:space="preserve"> sofern davon ausgegangen werden kann, dass nur berechtigte Studierende die Informationen zu Ort und Zeitpunkt der Ausgabe der Tests erhalten. </w:t>
      </w:r>
    </w:p>
    <w:p w:rsidR="00B70746" w:rsidRDefault="00B70746" w:rsidP="00B70746">
      <w:pPr>
        <w:spacing w:before="120"/>
      </w:pPr>
      <w:r>
        <w:t xml:space="preserve">Die zur Verteilung benötigten Selbsttests sind beim Krisenmanagement mit Angabe </w:t>
      </w:r>
      <w:r w:rsidR="000E19F2">
        <w:t xml:space="preserve">der Anzahl und </w:t>
      </w:r>
      <w:r>
        <w:t xml:space="preserve">einer verantwortlichen Person </w:t>
      </w:r>
      <w:r w:rsidR="000E19F2">
        <w:t>sowie</w:t>
      </w:r>
      <w:r>
        <w:t xml:space="preserve"> einer Lieferadresse anzufordern. </w:t>
      </w:r>
    </w:p>
    <w:p w:rsidR="00B70746" w:rsidRDefault="00B70746" w:rsidP="00B70746">
      <w:pPr>
        <w:spacing w:before="120"/>
      </w:pPr>
      <w:r>
        <w:t xml:space="preserve">Für die Kalkulation der benötigten Tests sollte zunächst mit einem Anteil von 20-25% der </w:t>
      </w:r>
      <w:r w:rsidR="000E19F2">
        <w:t xml:space="preserve">Gesamtzahl der </w:t>
      </w:r>
      <w:r>
        <w:t xml:space="preserve">Studierenden </w:t>
      </w:r>
      <w:r w:rsidR="000E19F2">
        <w:t xml:space="preserve">(Köpfe) </w:t>
      </w:r>
      <w:r>
        <w:t>gerechnet wer</w:t>
      </w:r>
      <w:r>
        <w:lastRenderedPageBreak/>
        <w:t>den, sofern davon ausgegangen werden kann, dass für alle Studierendenkohorten Präsensveranstaltungen angeboten werden können</w:t>
      </w:r>
      <w:r w:rsidR="000E19F2">
        <w:t xml:space="preserve"> und</w:t>
      </w:r>
      <w:r>
        <w:t xml:space="preserve"> Studierende aller Fachsemester voraussichtlich an Präsenzveranstaltungen teilnehmen werden. </w:t>
      </w:r>
      <w:r w:rsidR="000E19F2">
        <w:t xml:space="preserve">Wenn das nicht der Fall ist, sollte die Anzahl entsprechend niedriger kalkuliert werden. </w:t>
      </w:r>
      <w:r>
        <w:t xml:space="preserve">Sollten die bestellten Tests nicht ausreichen, kann eine spätere Nachbestellung erfolgen. </w:t>
      </w:r>
    </w:p>
    <w:p w:rsidR="00B70746" w:rsidRDefault="00B70746" w:rsidP="0055061C"/>
    <w:p w:rsidR="00CC4EF8" w:rsidRDefault="000E19F2" w:rsidP="0055061C">
      <w:r>
        <w:t xml:space="preserve">Ab 11. Oktober werden die öffentlichen Möglichkeiten für Schnelltests kostenpflichtig. Bis dahin kann von den Studierenden ggf. zur Ausgabe der Tests der Nachweis einer negativen Testung gefordert werden. </w:t>
      </w:r>
    </w:p>
    <w:p w:rsidR="00B70746" w:rsidRDefault="000E19F2" w:rsidP="0055061C">
      <w:r>
        <w:t xml:space="preserve">Alternativ kann die Verteilung der Tests </w:t>
      </w:r>
      <w:r w:rsidR="000429DF">
        <w:t xml:space="preserve">auch </w:t>
      </w:r>
      <w:r>
        <w:t xml:space="preserve">außerhalb der Gebäude </w:t>
      </w:r>
      <w:r w:rsidR="00CC4EF8">
        <w:t xml:space="preserve">oder unter Einhaltung entsprechender Hygienemaßnahmen </w:t>
      </w:r>
      <w:r>
        <w:t xml:space="preserve">erfolgen. </w:t>
      </w:r>
    </w:p>
    <w:p w:rsidR="000429DF" w:rsidRDefault="000429DF" w:rsidP="0055061C">
      <w:r>
        <w:t xml:space="preserve">Um eine zu große Ansammlung von Studierenden bei der Ausgabe zu vermeiden, sollten mehrere Zeitslots – ggf. getrennt nach Kohorten, Instituten o.ä. – angeboten werden. </w:t>
      </w:r>
    </w:p>
    <w:p w:rsidR="00214CEA" w:rsidRDefault="00214CEA" w:rsidP="0055061C"/>
    <w:p w:rsidR="000429DF" w:rsidRDefault="000429DF" w:rsidP="0055061C"/>
    <w:p w:rsidR="000429DF" w:rsidRDefault="000429DF" w:rsidP="0055061C">
      <w:r w:rsidRPr="00570277">
        <w:rPr>
          <w:u w:val="single"/>
        </w:rPr>
        <w:t>Anlage</w:t>
      </w:r>
      <w:r w:rsidR="0049505D">
        <w:rPr>
          <w:u w:val="single"/>
        </w:rPr>
        <w:t xml:space="preserve"> 1</w:t>
      </w:r>
      <w:r w:rsidR="003D6465">
        <w:rPr>
          <w:u w:val="single"/>
        </w:rPr>
        <w:t>a</w:t>
      </w:r>
      <w:r>
        <w:t xml:space="preserve">: </w:t>
      </w:r>
      <w:hyperlink r:id="rId10" w:history="1">
        <w:r w:rsidR="003D6465" w:rsidRPr="003D6465">
          <w:rPr>
            <w:rStyle w:val="Hyperlink"/>
          </w:rPr>
          <w:t>Muster eidesstattliche Erklärung zum Testnachweis (deutsch)</w:t>
        </w:r>
      </w:hyperlink>
    </w:p>
    <w:p w:rsidR="003D6465" w:rsidRDefault="003D6465" w:rsidP="003D6465">
      <w:r w:rsidRPr="00570277">
        <w:rPr>
          <w:u w:val="single"/>
        </w:rPr>
        <w:t>Anlage</w:t>
      </w:r>
      <w:r>
        <w:rPr>
          <w:u w:val="single"/>
        </w:rPr>
        <w:t xml:space="preserve"> 1b</w:t>
      </w:r>
      <w:r>
        <w:t xml:space="preserve">: </w:t>
      </w:r>
      <w:hyperlink r:id="rId11" w:history="1">
        <w:r w:rsidRPr="003D6465">
          <w:rPr>
            <w:rStyle w:val="Hyperlink"/>
          </w:rPr>
          <w:t>Muster eidesstattliche Erklärung zum Testnachweis (englisch)</w:t>
        </w:r>
      </w:hyperlink>
    </w:p>
    <w:p w:rsidR="003D6465" w:rsidRDefault="003D6465" w:rsidP="0055061C"/>
    <w:p w:rsidR="0049505D" w:rsidRDefault="0049505D" w:rsidP="0055061C">
      <w:r w:rsidRPr="002701DC">
        <w:rPr>
          <w:u w:val="single"/>
        </w:rPr>
        <w:t>Anlage 2</w:t>
      </w:r>
      <w:r w:rsidR="003D6465">
        <w:rPr>
          <w:u w:val="single"/>
        </w:rPr>
        <w:t>a</w:t>
      </w:r>
      <w:r>
        <w:t xml:space="preserve">: </w:t>
      </w:r>
      <w:hyperlink r:id="rId12" w:history="1">
        <w:r w:rsidR="003D6465" w:rsidRPr="003D6465">
          <w:rPr>
            <w:rStyle w:val="Hyperlink"/>
          </w:rPr>
          <w:t>Muster Erklärung über Anspruch auf kostenlose Selbsttests (deutsch)</w:t>
        </w:r>
      </w:hyperlink>
    </w:p>
    <w:p w:rsidR="00E57EDD" w:rsidRDefault="003D6465" w:rsidP="003D6465">
      <w:pPr>
        <w:rPr>
          <w:b/>
          <w:bCs/>
        </w:rPr>
      </w:pPr>
      <w:r w:rsidRPr="002701DC">
        <w:rPr>
          <w:u w:val="single"/>
        </w:rPr>
        <w:t>Anlage 2</w:t>
      </w:r>
      <w:r>
        <w:rPr>
          <w:u w:val="single"/>
        </w:rPr>
        <w:t>b</w:t>
      </w:r>
      <w:r>
        <w:t>:</w:t>
      </w:r>
      <w:r w:rsidR="00642E8F">
        <w:t xml:space="preserve"> </w:t>
      </w:r>
      <w:hyperlink r:id="rId13" w:history="1">
        <w:r w:rsidRPr="00642E8F">
          <w:rPr>
            <w:rStyle w:val="Hyperlink"/>
          </w:rPr>
          <w:t>Muster Erklärung über Anspruch auf kostenlose Selbsttests (englisch)</w:t>
        </w:r>
      </w:hyperlink>
      <w:r>
        <w:t xml:space="preserve"> </w:t>
      </w:r>
    </w:p>
    <w:sectPr w:rsidR="00E57EDD" w:rsidSect="002701DC">
      <w:headerReference w:type="default" r:id="rId14"/>
      <w:headerReference w:type="first" r:id="rId15"/>
      <w:type w:val="evenPage"/>
      <w:pgSz w:w="11906" w:h="16838" w:code="9"/>
      <w:pgMar w:top="1418" w:right="1133" w:bottom="1134" w:left="1418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F6B" w:rsidRDefault="00A37F6B" w:rsidP="008C0485">
      <w:pPr>
        <w:spacing w:line="240" w:lineRule="auto"/>
      </w:pPr>
      <w:r>
        <w:separator/>
      </w:r>
    </w:p>
  </w:endnote>
  <w:endnote w:type="continuationSeparator" w:id="0">
    <w:p w:rsidR="00A37F6B" w:rsidRDefault="00A37F6B" w:rsidP="008C04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F6B" w:rsidRDefault="00A37F6B" w:rsidP="008C0485">
      <w:pPr>
        <w:spacing w:line="240" w:lineRule="auto"/>
      </w:pPr>
      <w:r>
        <w:separator/>
      </w:r>
    </w:p>
  </w:footnote>
  <w:footnote w:type="continuationSeparator" w:id="0">
    <w:p w:rsidR="00A37F6B" w:rsidRDefault="00A37F6B" w:rsidP="008C04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C19" w:rsidRDefault="00EC2C19">
    <w:pPr>
      <w:pStyle w:val="Kopfzeile"/>
    </w:pPr>
    <w:r>
      <w:rPr>
        <w:noProof/>
        <w:lang w:eastAsia="de-DE"/>
      </w:rPr>
      <w:drawing>
        <wp:inline distT="0" distB="0" distL="0" distR="0">
          <wp:extent cx="3886200" cy="798426"/>
          <wp:effectExtent l="0" t="0" r="0" b="190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-Logo_Siegel_4c_115mm_0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0277" cy="807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C2C19" w:rsidRDefault="00EC2C1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277" w:rsidRPr="00A70111" w:rsidRDefault="00570277" w:rsidP="00570277">
    <w:pPr>
      <w:spacing w:line="240" w:lineRule="auto"/>
      <w:rPr>
        <w:b/>
        <w:color w:val="808080" w:themeColor="background1" w:themeShade="80"/>
      </w:rPr>
    </w:pPr>
    <w:r w:rsidRPr="00A70111">
      <w:rPr>
        <w:b/>
        <w:color w:val="808080" w:themeColor="background1" w:themeShade="80"/>
      </w:rPr>
      <w:t xml:space="preserve">HQE – Stabsstelle für Hochschul- und Qualitätsentwicklung </w:t>
    </w:r>
    <w:r w:rsidRPr="00A70111">
      <w:rPr>
        <w:b/>
        <w:noProof/>
        <w:color w:val="808080" w:themeColor="background1" w:themeShade="80"/>
        <w:lang w:eastAsia="de-DE"/>
      </w:rPr>
      <w:t xml:space="preserve"> </w:t>
    </w:r>
    <w:r w:rsidRPr="00A70111">
      <w:rPr>
        <w:b/>
        <w:color w:val="808080" w:themeColor="background1" w:themeShade="80"/>
      </w:rPr>
      <w:tab/>
    </w:r>
  </w:p>
  <w:p w:rsidR="00570277" w:rsidRPr="001D1900" w:rsidRDefault="00570277" w:rsidP="00570277">
    <w:pPr>
      <w:pBdr>
        <w:bottom w:val="single" w:sz="4" w:space="0" w:color="auto"/>
      </w:pBdr>
      <w:spacing w:line="240" w:lineRule="auto"/>
      <w:rPr>
        <w:color w:val="808080" w:themeColor="background1" w:themeShade="80"/>
        <w:sz w:val="18"/>
      </w:rPr>
    </w:pPr>
    <w:r>
      <w:rPr>
        <w:rFonts w:asciiTheme="minorHAnsi" w:hAnsiTheme="minorHAnsi"/>
        <w:color w:val="808080" w:themeColor="background1" w:themeShade="80"/>
      </w:rPr>
      <w:t>Prozess Selbsttests WS 21/22</w:t>
    </w:r>
    <w:r>
      <w:rPr>
        <w:rFonts w:asciiTheme="minorHAnsi" w:hAnsiTheme="minorHAnsi"/>
        <w:color w:val="808080" w:themeColor="background1" w:themeShade="80"/>
      </w:rPr>
      <w:tab/>
    </w:r>
    <w:r>
      <w:rPr>
        <w:rFonts w:asciiTheme="minorHAnsi" w:hAnsiTheme="minorHAnsi"/>
        <w:color w:val="808080" w:themeColor="background1" w:themeShade="80"/>
      </w:rPr>
      <w:tab/>
    </w:r>
    <w:r>
      <w:rPr>
        <w:rFonts w:asciiTheme="minorHAnsi" w:hAnsiTheme="minorHAnsi"/>
        <w:color w:val="808080" w:themeColor="background1" w:themeShade="80"/>
      </w:rPr>
      <w:tab/>
    </w:r>
    <w:r>
      <w:rPr>
        <w:rFonts w:asciiTheme="minorHAnsi" w:hAnsiTheme="minorHAnsi"/>
        <w:color w:val="808080" w:themeColor="background1" w:themeShade="80"/>
      </w:rPr>
      <w:tab/>
    </w:r>
    <w:r>
      <w:rPr>
        <w:rFonts w:asciiTheme="minorHAnsi" w:hAnsiTheme="minorHAnsi"/>
        <w:color w:val="808080" w:themeColor="background1" w:themeShade="80"/>
      </w:rPr>
      <w:tab/>
    </w:r>
    <w:r>
      <w:rPr>
        <w:rFonts w:asciiTheme="minorHAnsi" w:hAnsiTheme="minorHAnsi"/>
        <w:color w:val="808080" w:themeColor="background1" w:themeShade="80"/>
      </w:rPr>
      <w:tab/>
    </w:r>
    <w:r>
      <w:rPr>
        <w:rFonts w:asciiTheme="minorHAnsi" w:hAnsiTheme="minorHAnsi"/>
        <w:color w:val="808080" w:themeColor="background1" w:themeShade="80"/>
      </w:rPr>
      <w:tab/>
      <w:t xml:space="preserve"> </w:t>
    </w:r>
    <w:r>
      <w:rPr>
        <w:color w:val="808080" w:themeColor="background1" w:themeShade="80"/>
        <w:sz w:val="18"/>
      </w:rPr>
      <w:t>HQE</w:t>
    </w:r>
    <w:r w:rsidRPr="00CD46AB">
      <w:rPr>
        <w:color w:val="808080" w:themeColor="background1" w:themeShade="80"/>
        <w:sz w:val="18"/>
      </w:rPr>
      <w:t xml:space="preserve"> </w:t>
    </w:r>
    <w:r w:rsidRPr="00CD46AB">
      <w:rPr>
        <w:color w:val="808080" w:themeColor="background1" w:themeShade="80"/>
        <w:sz w:val="18"/>
      </w:rPr>
      <w:sym w:font="Symbol" w:char="F0BD"/>
    </w:r>
    <w:r>
      <w:rPr>
        <w:color w:val="808080" w:themeColor="background1" w:themeShade="80"/>
        <w:sz w:val="18"/>
      </w:rPr>
      <w:t>AM</w:t>
    </w:r>
    <w:r w:rsidRPr="00CD46AB">
      <w:rPr>
        <w:color w:val="808080" w:themeColor="background1" w:themeShade="80"/>
        <w:sz w:val="18"/>
      </w:rPr>
      <w:sym w:font="Symbol" w:char="F0BD"/>
    </w:r>
    <w:r w:rsidR="002701DC">
      <w:rPr>
        <w:color w:val="808080" w:themeColor="background1" w:themeShade="80"/>
        <w:sz w:val="18"/>
      </w:rPr>
      <w:t>1</w:t>
    </w:r>
    <w:r w:rsidR="003D6465">
      <w:rPr>
        <w:color w:val="808080" w:themeColor="background1" w:themeShade="80"/>
        <w:sz w:val="18"/>
      </w:rPr>
      <w:t>5</w:t>
    </w:r>
    <w:r>
      <w:rPr>
        <w:color w:val="808080" w:themeColor="background1" w:themeShade="80"/>
        <w:sz w:val="18"/>
      </w:rPr>
      <w:t>.0</w:t>
    </w:r>
    <w:r w:rsidR="002701DC">
      <w:rPr>
        <w:color w:val="808080" w:themeColor="background1" w:themeShade="80"/>
        <w:sz w:val="18"/>
      </w:rPr>
      <w:t>9</w:t>
    </w:r>
    <w:r>
      <w:rPr>
        <w:color w:val="808080" w:themeColor="background1" w:themeShade="80"/>
        <w:sz w:val="18"/>
      </w:rPr>
      <w:t>.21</w:t>
    </w:r>
  </w:p>
  <w:p w:rsidR="00570277" w:rsidRDefault="005702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104A"/>
    <w:multiLevelType w:val="hybridMultilevel"/>
    <w:tmpl w:val="EC540DE4"/>
    <w:lvl w:ilvl="0" w:tplc="F108610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74A1E"/>
    <w:multiLevelType w:val="hybridMultilevel"/>
    <w:tmpl w:val="0AD86562"/>
    <w:lvl w:ilvl="0" w:tplc="040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9D162D"/>
    <w:multiLevelType w:val="hybridMultilevel"/>
    <w:tmpl w:val="C23AD8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55D77"/>
    <w:multiLevelType w:val="hybridMultilevel"/>
    <w:tmpl w:val="B16296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C5ABB"/>
    <w:multiLevelType w:val="hybridMultilevel"/>
    <w:tmpl w:val="20E456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C3E6F"/>
    <w:multiLevelType w:val="hybridMultilevel"/>
    <w:tmpl w:val="C7BC0A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45DC3"/>
    <w:multiLevelType w:val="hybridMultilevel"/>
    <w:tmpl w:val="F6A837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F7549"/>
    <w:multiLevelType w:val="hybridMultilevel"/>
    <w:tmpl w:val="D1BA4274"/>
    <w:lvl w:ilvl="0" w:tplc="49F6EEB2">
      <w:start w:val="23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D4553"/>
    <w:multiLevelType w:val="hybridMultilevel"/>
    <w:tmpl w:val="74B0DF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87D76"/>
    <w:multiLevelType w:val="hybridMultilevel"/>
    <w:tmpl w:val="EF345F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339AD"/>
    <w:multiLevelType w:val="hybridMultilevel"/>
    <w:tmpl w:val="F6A837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8221F"/>
    <w:multiLevelType w:val="hybridMultilevel"/>
    <w:tmpl w:val="64905D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D1D02"/>
    <w:multiLevelType w:val="hybridMultilevel"/>
    <w:tmpl w:val="3BFE0D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9311E"/>
    <w:multiLevelType w:val="hybridMultilevel"/>
    <w:tmpl w:val="034E2B7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43D09"/>
    <w:multiLevelType w:val="hybridMultilevel"/>
    <w:tmpl w:val="657E1634"/>
    <w:lvl w:ilvl="0" w:tplc="53D6B37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43F35"/>
    <w:multiLevelType w:val="hybridMultilevel"/>
    <w:tmpl w:val="28328F4A"/>
    <w:lvl w:ilvl="0" w:tplc="53D6B37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A7D52"/>
    <w:multiLevelType w:val="hybridMultilevel"/>
    <w:tmpl w:val="F5E299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37E25"/>
    <w:multiLevelType w:val="hybridMultilevel"/>
    <w:tmpl w:val="5302E51C"/>
    <w:lvl w:ilvl="0" w:tplc="DA70809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37E40"/>
    <w:multiLevelType w:val="hybridMultilevel"/>
    <w:tmpl w:val="619C23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F4DF0"/>
    <w:multiLevelType w:val="hybridMultilevel"/>
    <w:tmpl w:val="91C0D4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73CA17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635CD"/>
    <w:multiLevelType w:val="hybridMultilevel"/>
    <w:tmpl w:val="0AD865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D7438"/>
    <w:multiLevelType w:val="hybridMultilevel"/>
    <w:tmpl w:val="931052B6"/>
    <w:lvl w:ilvl="0" w:tplc="6B54E238">
      <w:numFmt w:val="bullet"/>
      <w:lvlText w:val="-"/>
      <w:lvlJc w:val="left"/>
      <w:pPr>
        <w:ind w:left="1800" w:hanging="360"/>
      </w:pPr>
      <w:rPr>
        <w:rFonts w:ascii="Arial Narrow" w:eastAsiaTheme="minorHAnsi" w:hAnsi="Arial Narrow" w:cstheme="minorBidi" w:hint="default"/>
        <w:b w:val="0"/>
        <w:color w:val="00B050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B6240ED"/>
    <w:multiLevelType w:val="hybridMultilevel"/>
    <w:tmpl w:val="E6B4269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87627"/>
    <w:multiLevelType w:val="hybridMultilevel"/>
    <w:tmpl w:val="3B823A8E"/>
    <w:lvl w:ilvl="0" w:tplc="E050D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A0BE4"/>
    <w:multiLevelType w:val="hybridMultilevel"/>
    <w:tmpl w:val="D054CC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AF1B35"/>
    <w:multiLevelType w:val="hybridMultilevel"/>
    <w:tmpl w:val="D53AB1C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8D4DB5"/>
    <w:multiLevelType w:val="hybridMultilevel"/>
    <w:tmpl w:val="E90E4F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D62A5"/>
    <w:multiLevelType w:val="hybridMultilevel"/>
    <w:tmpl w:val="2CA643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9084B"/>
    <w:multiLevelType w:val="hybridMultilevel"/>
    <w:tmpl w:val="A90010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7A4103"/>
    <w:multiLevelType w:val="hybridMultilevel"/>
    <w:tmpl w:val="B1360D9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01657"/>
    <w:multiLevelType w:val="hybridMultilevel"/>
    <w:tmpl w:val="97120986"/>
    <w:lvl w:ilvl="0" w:tplc="173CA1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C226E"/>
    <w:multiLevelType w:val="hybridMultilevel"/>
    <w:tmpl w:val="0AD865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DD6000"/>
    <w:multiLevelType w:val="hybridMultilevel"/>
    <w:tmpl w:val="7BA843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E2909"/>
    <w:multiLevelType w:val="hybridMultilevel"/>
    <w:tmpl w:val="F064CF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57084A"/>
    <w:multiLevelType w:val="hybridMultilevel"/>
    <w:tmpl w:val="42F874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B925F8"/>
    <w:multiLevelType w:val="hybridMultilevel"/>
    <w:tmpl w:val="95E4AF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9"/>
  </w:num>
  <w:num w:numId="4">
    <w:abstractNumId w:val="31"/>
  </w:num>
  <w:num w:numId="5">
    <w:abstractNumId w:val="32"/>
  </w:num>
  <w:num w:numId="6">
    <w:abstractNumId w:val="29"/>
  </w:num>
  <w:num w:numId="7">
    <w:abstractNumId w:val="6"/>
  </w:num>
  <w:num w:numId="8">
    <w:abstractNumId w:val="10"/>
  </w:num>
  <w:num w:numId="9">
    <w:abstractNumId w:val="25"/>
  </w:num>
  <w:num w:numId="10">
    <w:abstractNumId w:val="2"/>
  </w:num>
  <w:num w:numId="11">
    <w:abstractNumId w:val="13"/>
  </w:num>
  <w:num w:numId="12">
    <w:abstractNumId w:val="35"/>
  </w:num>
  <w:num w:numId="13">
    <w:abstractNumId w:val="28"/>
  </w:num>
  <w:num w:numId="14">
    <w:abstractNumId w:val="34"/>
  </w:num>
  <w:num w:numId="15">
    <w:abstractNumId w:val="5"/>
  </w:num>
  <w:num w:numId="16">
    <w:abstractNumId w:val="30"/>
  </w:num>
  <w:num w:numId="17">
    <w:abstractNumId w:val="8"/>
  </w:num>
  <w:num w:numId="18">
    <w:abstractNumId w:val="12"/>
  </w:num>
  <w:num w:numId="19">
    <w:abstractNumId w:val="19"/>
  </w:num>
  <w:num w:numId="20">
    <w:abstractNumId w:val="4"/>
  </w:num>
  <w:num w:numId="21">
    <w:abstractNumId w:val="3"/>
  </w:num>
  <w:num w:numId="22">
    <w:abstractNumId w:val="11"/>
  </w:num>
  <w:num w:numId="23">
    <w:abstractNumId w:val="33"/>
  </w:num>
  <w:num w:numId="24">
    <w:abstractNumId w:val="24"/>
  </w:num>
  <w:num w:numId="25">
    <w:abstractNumId w:val="22"/>
  </w:num>
  <w:num w:numId="26">
    <w:abstractNumId w:val="16"/>
  </w:num>
  <w:num w:numId="27">
    <w:abstractNumId w:val="18"/>
  </w:num>
  <w:num w:numId="28">
    <w:abstractNumId w:val="0"/>
  </w:num>
  <w:num w:numId="29">
    <w:abstractNumId w:val="26"/>
  </w:num>
  <w:num w:numId="30">
    <w:abstractNumId w:val="7"/>
  </w:num>
  <w:num w:numId="31">
    <w:abstractNumId w:val="17"/>
  </w:num>
  <w:num w:numId="32">
    <w:abstractNumId w:val="15"/>
  </w:num>
  <w:num w:numId="33">
    <w:abstractNumId w:val="14"/>
  </w:num>
  <w:num w:numId="34">
    <w:abstractNumId w:val="21"/>
  </w:num>
  <w:num w:numId="35">
    <w:abstractNumId w:val="23"/>
  </w:num>
  <w:num w:numId="36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B8"/>
    <w:rsid w:val="00006BD7"/>
    <w:rsid w:val="00011F7B"/>
    <w:rsid w:val="00013D99"/>
    <w:rsid w:val="000213F6"/>
    <w:rsid w:val="000326EA"/>
    <w:rsid w:val="00034BC0"/>
    <w:rsid w:val="000415E2"/>
    <w:rsid w:val="000429DF"/>
    <w:rsid w:val="00053603"/>
    <w:rsid w:val="0005560E"/>
    <w:rsid w:val="0005738C"/>
    <w:rsid w:val="000618DE"/>
    <w:rsid w:val="00070E81"/>
    <w:rsid w:val="00074C0B"/>
    <w:rsid w:val="00082B3B"/>
    <w:rsid w:val="000905FE"/>
    <w:rsid w:val="00094CE3"/>
    <w:rsid w:val="000A225E"/>
    <w:rsid w:val="000B573F"/>
    <w:rsid w:val="000B7573"/>
    <w:rsid w:val="000C0D38"/>
    <w:rsid w:val="000C2B8C"/>
    <w:rsid w:val="000C42F9"/>
    <w:rsid w:val="000C4C68"/>
    <w:rsid w:val="000D0469"/>
    <w:rsid w:val="000D0586"/>
    <w:rsid w:val="000D125F"/>
    <w:rsid w:val="000D1659"/>
    <w:rsid w:val="000D68E5"/>
    <w:rsid w:val="000E19F2"/>
    <w:rsid w:val="000E674C"/>
    <w:rsid w:val="000E6850"/>
    <w:rsid w:val="000E70D7"/>
    <w:rsid w:val="000F0BB2"/>
    <w:rsid w:val="000F1765"/>
    <w:rsid w:val="000F22C5"/>
    <w:rsid w:val="000F63E9"/>
    <w:rsid w:val="00100074"/>
    <w:rsid w:val="00103947"/>
    <w:rsid w:val="0011049A"/>
    <w:rsid w:val="0011343D"/>
    <w:rsid w:val="00113E19"/>
    <w:rsid w:val="00114743"/>
    <w:rsid w:val="0012149D"/>
    <w:rsid w:val="00122BF6"/>
    <w:rsid w:val="00123ABE"/>
    <w:rsid w:val="00123C5A"/>
    <w:rsid w:val="001263CD"/>
    <w:rsid w:val="0012799D"/>
    <w:rsid w:val="001312F3"/>
    <w:rsid w:val="00131B5E"/>
    <w:rsid w:val="00136EAE"/>
    <w:rsid w:val="001450BC"/>
    <w:rsid w:val="001518F6"/>
    <w:rsid w:val="00151D9B"/>
    <w:rsid w:val="00155571"/>
    <w:rsid w:val="001605E6"/>
    <w:rsid w:val="00164732"/>
    <w:rsid w:val="00170A14"/>
    <w:rsid w:val="00171414"/>
    <w:rsid w:val="0017204D"/>
    <w:rsid w:val="00177770"/>
    <w:rsid w:val="001804B9"/>
    <w:rsid w:val="001869B3"/>
    <w:rsid w:val="00187324"/>
    <w:rsid w:val="0018799A"/>
    <w:rsid w:val="0019359E"/>
    <w:rsid w:val="00196B74"/>
    <w:rsid w:val="001A048F"/>
    <w:rsid w:val="001A3A63"/>
    <w:rsid w:val="001A5063"/>
    <w:rsid w:val="001B2FE0"/>
    <w:rsid w:val="001C0032"/>
    <w:rsid w:val="001C00D9"/>
    <w:rsid w:val="001C2327"/>
    <w:rsid w:val="001C37E6"/>
    <w:rsid w:val="001C6B84"/>
    <w:rsid w:val="001D1900"/>
    <w:rsid w:val="001D597A"/>
    <w:rsid w:val="001D6D02"/>
    <w:rsid w:val="001E2B71"/>
    <w:rsid w:val="001E5B49"/>
    <w:rsid w:val="001E7E84"/>
    <w:rsid w:val="001F17B9"/>
    <w:rsid w:val="001F4341"/>
    <w:rsid w:val="001F4F48"/>
    <w:rsid w:val="001F7AC3"/>
    <w:rsid w:val="00207102"/>
    <w:rsid w:val="002100DF"/>
    <w:rsid w:val="00211E25"/>
    <w:rsid w:val="00212B9E"/>
    <w:rsid w:val="002141A6"/>
    <w:rsid w:val="00214CEA"/>
    <w:rsid w:val="002178CC"/>
    <w:rsid w:val="0022258F"/>
    <w:rsid w:val="0022309E"/>
    <w:rsid w:val="0022602C"/>
    <w:rsid w:val="00233F14"/>
    <w:rsid w:val="002358F6"/>
    <w:rsid w:val="00236B06"/>
    <w:rsid w:val="00247468"/>
    <w:rsid w:val="002477CC"/>
    <w:rsid w:val="0025028F"/>
    <w:rsid w:val="002506CF"/>
    <w:rsid w:val="00251B6F"/>
    <w:rsid w:val="00257969"/>
    <w:rsid w:val="00262519"/>
    <w:rsid w:val="002640F4"/>
    <w:rsid w:val="00265AC4"/>
    <w:rsid w:val="002701DC"/>
    <w:rsid w:val="0027023E"/>
    <w:rsid w:val="00270B1B"/>
    <w:rsid w:val="00272A8E"/>
    <w:rsid w:val="00273937"/>
    <w:rsid w:val="00276ADB"/>
    <w:rsid w:val="0028085A"/>
    <w:rsid w:val="00284A64"/>
    <w:rsid w:val="00285FCB"/>
    <w:rsid w:val="0029125B"/>
    <w:rsid w:val="00293725"/>
    <w:rsid w:val="00297707"/>
    <w:rsid w:val="002978D3"/>
    <w:rsid w:val="002A00FA"/>
    <w:rsid w:val="002A0BCD"/>
    <w:rsid w:val="002A2909"/>
    <w:rsid w:val="002A586A"/>
    <w:rsid w:val="002B2248"/>
    <w:rsid w:val="002B3916"/>
    <w:rsid w:val="002B456B"/>
    <w:rsid w:val="002B495E"/>
    <w:rsid w:val="002B6CD1"/>
    <w:rsid w:val="002C5749"/>
    <w:rsid w:val="002C7CDF"/>
    <w:rsid w:val="002D154F"/>
    <w:rsid w:val="002D3FD0"/>
    <w:rsid w:val="002D443A"/>
    <w:rsid w:val="002D5A09"/>
    <w:rsid w:val="002E6EDE"/>
    <w:rsid w:val="002F087E"/>
    <w:rsid w:val="002F29D1"/>
    <w:rsid w:val="002F4499"/>
    <w:rsid w:val="002F60D8"/>
    <w:rsid w:val="003037E5"/>
    <w:rsid w:val="00306DD0"/>
    <w:rsid w:val="0031044D"/>
    <w:rsid w:val="00311B39"/>
    <w:rsid w:val="00312372"/>
    <w:rsid w:val="003166C3"/>
    <w:rsid w:val="00321269"/>
    <w:rsid w:val="00323175"/>
    <w:rsid w:val="0032396F"/>
    <w:rsid w:val="00324E15"/>
    <w:rsid w:val="00325AFB"/>
    <w:rsid w:val="0033154F"/>
    <w:rsid w:val="003402B7"/>
    <w:rsid w:val="003409C9"/>
    <w:rsid w:val="003411D6"/>
    <w:rsid w:val="00344D0B"/>
    <w:rsid w:val="00351670"/>
    <w:rsid w:val="003540B2"/>
    <w:rsid w:val="00355D2F"/>
    <w:rsid w:val="003562BA"/>
    <w:rsid w:val="003659AB"/>
    <w:rsid w:val="003731AE"/>
    <w:rsid w:val="0037322A"/>
    <w:rsid w:val="0037431D"/>
    <w:rsid w:val="003752C5"/>
    <w:rsid w:val="00375C0A"/>
    <w:rsid w:val="00377537"/>
    <w:rsid w:val="0038491D"/>
    <w:rsid w:val="0038559C"/>
    <w:rsid w:val="003861B1"/>
    <w:rsid w:val="0039507C"/>
    <w:rsid w:val="00396837"/>
    <w:rsid w:val="003A05EF"/>
    <w:rsid w:val="003A286D"/>
    <w:rsid w:val="003A6F3D"/>
    <w:rsid w:val="003B59B4"/>
    <w:rsid w:val="003B5CB1"/>
    <w:rsid w:val="003C1CE9"/>
    <w:rsid w:val="003C25DE"/>
    <w:rsid w:val="003D2442"/>
    <w:rsid w:val="003D6340"/>
    <w:rsid w:val="003D6465"/>
    <w:rsid w:val="003D7072"/>
    <w:rsid w:val="003E1500"/>
    <w:rsid w:val="003E5155"/>
    <w:rsid w:val="003F0E8C"/>
    <w:rsid w:val="003F3160"/>
    <w:rsid w:val="003F5AC9"/>
    <w:rsid w:val="003F66CF"/>
    <w:rsid w:val="003F680B"/>
    <w:rsid w:val="003F6BEA"/>
    <w:rsid w:val="00400CCC"/>
    <w:rsid w:val="004019CA"/>
    <w:rsid w:val="004044F9"/>
    <w:rsid w:val="00404649"/>
    <w:rsid w:val="00404BC3"/>
    <w:rsid w:val="0040561D"/>
    <w:rsid w:val="00405DCD"/>
    <w:rsid w:val="00406976"/>
    <w:rsid w:val="00407F56"/>
    <w:rsid w:val="00412CC7"/>
    <w:rsid w:val="00425673"/>
    <w:rsid w:val="00431744"/>
    <w:rsid w:val="00437D4E"/>
    <w:rsid w:val="00446DC5"/>
    <w:rsid w:val="00452C2C"/>
    <w:rsid w:val="0045646D"/>
    <w:rsid w:val="00463249"/>
    <w:rsid w:val="00465F1E"/>
    <w:rsid w:val="00471C9B"/>
    <w:rsid w:val="004721A6"/>
    <w:rsid w:val="00477359"/>
    <w:rsid w:val="00481052"/>
    <w:rsid w:val="00482C2D"/>
    <w:rsid w:val="00487BA2"/>
    <w:rsid w:val="0049207D"/>
    <w:rsid w:val="00493702"/>
    <w:rsid w:val="0049505D"/>
    <w:rsid w:val="00495122"/>
    <w:rsid w:val="00495577"/>
    <w:rsid w:val="004A2B08"/>
    <w:rsid w:val="004A50DA"/>
    <w:rsid w:val="004A76A9"/>
    <w:rsid w:val="004B491A"/>
    <w:rsid w:val="004B6A4A"/>
    <w:rsid w:val="004C32DD"/>
    <w:rsid w:val="004C475A"/>
    <w:rsid w:val="004C7E1C"/>
    <w:rsid w:val="004D0956"/>
    <w:rsid w:val="004D19E0"/>
    <w:rsid w:val="004E129E"/>
    <w:rsid w:val="004E1489"/>
    <w:rsid w:val="004E17AE"/>
    <w:rsid w:val="004E7AF2"/>
    <w:rsid w:val="0050103C"/>
    <w:rsid w:val="0050223B"/>
    <w:rsid w:val="005034CB"/>
    <w:rsid w:val="00511156"/>
    <w:rsid w:val="00515855"/>
    <w:rsid w:val="005158E2"/>
    <w:rsid w:val="00517C06"/>
    <w:rsid w:val="00525211"/>
    <w:rsid w:val="005252FD"/>
    <w:rsid w:val="00526176"/>
    <w:rsid w:val="00530060"/>
    <w:rsid w:val="0053274E"/>
    <w:rsid w:val="00533ACE"/>
    <w:rsid w:val="00535C54"/>
    <w:rsid w:val="00535F5B"/>
    <w:rsid w:val="00536E06"/>
    <w:rsid w:val="00537C97"/>
    <w:rsid w:val="0054537B"/>
    <w:rsid w:val="00546FDA"/>
    <w:rsid w:val="005473BC"/>
    <w:rsid w:val="0055061C"/>
    <w:rsid w:val="00554EBF"/>
    <w:rsid w:val="00554F23"/>
    <w:rsid w:val="0055716F"/>
    <w:rsid w:val="00562E16"/>
    <w:rsid w:val="00567F23"/>
    <w:rsid w:val="00570277"/>
    <w:rsid w:val="00572932"/>
    <w:rsid w:val="0057637B"/>
    <w:rsid w:val="00576A37"/>
    <w:rsid w:val="0058239C"/>
    <w:rsid w:val="00593690"/>
    <w:rsid w:val="00593FCB"/>
    <w:rsid w:val="005A3800"/>
    <w:rsid w:val="005A4FB5"/>
    <w:rsid w:val="005A6690"/>
    <w:rsid w:val="005A6BF2"/>
    <w:rsid w:val="005A6CD7"/>
    <w:rsid w:val="005A76AE"/>
    <w:rsid w:val="005B7AC9"/>
    <w:rsid w:val="005C0193"/>
    <w:rsid w:val="005D0464"/>
    <w:rsid w:val="005D1CB7"/>
    <w:rsid w:val="005D5142"/>
    <w:rsid w:val="005D5FC3"/>
    <w:rsid w:val="005E0C14"/>
    <w:rsid w:val="005E2248"/>
    <w:rsid w:val="005E22F9"/>
    <w:rsid w:val="005E3352"/>
    <w:rsid w:val="005E39CD"/>
    <w:rsid w:val="005E45AB"/>
    <w:rsid w:val="005E7367"/>
    <w:rsid w:val="005E7E4D"/>
    <w:rsid w:val="005F202C"/>
    <w:rsid w:val="005F21B5"/>
    <w:rsid w:val="005F222F"/>
    <w:rsid w:val="005F35D4"/>
    <w:rsid w:val="005F4743"/>
    <w:rsid w:val="005F5BA3"/>
    <w:rsid w:val="006140CB"/>
    <w:rsid w:val="00621333"/>
    <w:rsid w:val="00621AEC"/>
    <w:rsid w:val="00632F69"/>
    <w:rsid w:val="00640A1C"/>
    <w:rsid w:val="00642E8F"/>
    <w:rsid w:val="00647B82"/>
    <w:rsid w:val="00650768"/>
    <w:rsid w:val="00653EEB"/>
    <w:rsid w:val="00654260"/>
    <w:rsid w:val="006547FF"/>
    <w:rsid w:val="00661ED3"/>
    <w:rsid w:val="00662E7E"/>
    <w:rsid w:val="006632B5"/>
    <w:rsid w:val="0066489E"/>
    <w:rsid w:val="0067353B"/>
    <w:rsid w:val="006767DD"/>
    <w:rsid w:val="0068048D"/>
    <w:rsid w:val="00680BB9"/>
    <w:rsid w:val="00682C4D"/>
    <w:rsid w:val="00692610"/>
    <w:rsid w:val="00695BED"/>
    <w:rsid w:val="00695F59"/>
    <w:rsid w:val="006978DF"/>
    <w:rsid w:val="006A1717"/>
    <w:rsid w:val="006A3580"/>
    <w:rsid w:val="006A6598"/>
    <w:rsid w:val="006A69FF"/>
    <w:rsid w:val="006A7A8A"/>
    <w:rsid w:val="006B517C"/>
    <w:rsid w:val="006B601B"/>
    <w:rsid w:val="006C2171"/>
    <w:rsid w:val="006D1CA7"/>
    <w:rsid w:val="006D370F"/>
    <w:rsid w:val="006D5BEC"/>
    <w:rsid w:val="006D5C01"/>
    <w:rsid w:val="006D61C1"/>
    <w:rsid w:val="006D6C69"/>
    <w:rsid w:val="006E3B4E"/>
    <w:rsid w:val="006E52C4"/>
    <w:rsid w:val="006E5BF5"/>
    <w:rsid w:val="006F1A19"/>
    <w:rsid w:val="006F2895"/>
    <w:rsid w:val="006F3017"/>
    <w:rsid w:val="0070703B"/>
    <w:rsid w:val="007119D3"/>
    <w:rsid w:val="00713373"/>
    <w:rsid w:val="007140DD"/>
    <w:rsid w:val="00715F63"/>
    <w:rsid w:val="00716F62"/>
    <w:rsid w:val="00717469"/>
    <w:rsid w:val="0072029E"/>
    <w:rsid w:val="00722BB4"/>
    <w:rsid w:val="007329FC"/>
    <w:rsid w:val="007458B2"/>
    <w:rsid w:val="007512A0"/>
    <w:rsid w:val="00753E10"/>
    <w:rsid w:val="0075636E"/>
    <w:rsid w:val="007565B2"/>
    <w:rsid w:val="007611FC"/>
    <w:rsid w:val="00761CDD"/>
    <w:rsid w:val="00763E50"/>
    <w:rsid w:val="00766A7E"/>
    <w:rsid w:val="0076750A"/>
    <w:rsid w:val="00771198"/>
    <w:rsid w:val="00780633"/>
    <w:rsid w:val="007814E8"/>
    <w:rsid w:val="0078290D"/>
    <w:rsid w:val="007863E0"/>
    <w:rsid w:val="00787787"/>
    <w:rsid w:val="0079124A"/>
    <w:rsid w:val="00791299"/>
    <w:rsid w:val="00791626"/>
    <w:rsid w:val="007930A6"/>
    <w:rsid w:val="00795C1A"/>
    <w:rsid w:val="00795DBB"/>
    <w:rsid w:val="007A23BD"/>
    <w:rsid w:val="007A24C2"/>
    <w:rsid w:val="007A3200"/>
    <w:rsid w:val="007A601F"/>
    <w:rsid w:val="007B1EF3"/>
    <w:rsid w:val="007B52D3"/>
    <w:rsid w:val="007B58D4"/>
    <w:rsid w:val="007B6025"/>
    <w:rsid w:val="007B6CB8"/>
    <w:rsid w:val="007C10D3"/>
    <w:rsid w:val="007C214C"/>
    <w:rsid w:val="007C23CE"/>
    <w:rsid w:val="007C44EC"/>
    <w:rsid w:val="007C4DA0"/>
    <w:rsid w:val="007D08D2"/>
    <w:rsid w:val="007D350B"/>
    <w:rsid w:val="007D3685"/>
    <w:rsid w:val="007D3D0B"/>
    <w:rsid w:val="007D6026"/>
    <w:rsid w:val="007E1DB8"/>
    <w:rsid w:val="007E24A7"/>
    <w:rsid w:val="007E2507"/>
    <w:rsid w:val="007F0274"/>
    <w:rsid w:val="007F03E9"/>
    <w:rsid w:val="007F0ED7"/>
    <w:rsid w:val="007F13CA"/>
    <w:rsid w:val="007F19A8"/>
    <w:rsid w:val="00800DF1"/>
    <w:rsid w:val="0080341E"/>
    <w:rsid w:val="00804229"/>
    <w:rsid w:val="00804BCA"/>
    <w:rsid w:val="008102E7"/>
    <w:rsid w:val="008135DA"/>
    <w:rsid w:val="00823161"/>
    <w:rsid w:val="00823DEF"/>
    <w:rsid w:val="00824B3B"/>
    <w:rsid w:val="00827B31"/>
    <w:rsid w:val="00831407"/>
    <w:rsid w:val="0083154B"/>
    <w:rsid w:val="00836F4A"/>
    <w:rsid w:val="00837C0A"/>
    <w:rsid w:val="008423FE"/>
    <w:rsid w:val="00845438"/>
    <w:rsid w:val="00852599"/>
    <w:rsid w:val="00857340"/>
    <w:rsid w:val="00857843"/>
    <w:rsid w:val="00857E70"/>
    <w:rsid w:val="0086002A"/>
    <w:rsid w:val="00860875"/>
    <w:rsid w:val="00861469"/>
    <w:rsid w:val="00861C25"/>
    <w:rsid w:val="00864110"/>
    <w:rsid w:val="00864610"/>
    <w:rsid w:val="00866899"/>
    <w:rsid w:val="008753FB"/>
    <w:rsid w:val="00876820"/>
    <w:rsid w:val="00880A20"/>
    <w:rsid w:val="00882082"/>
    <w:rsid w:val="0088281D"/>
    <w:rsid w:val="00882EC3"/>
    <w:rsid w:val="008924FB"/>
    <w:rsid w:val="00894564"/>
    <w:rsid w:val="008A1BC8"/>
    <w:rsid w:val="008A259B"/>
    <w:rsid w:val="008A40B6"/>
    <w:rsid w:val="008A4488"/>
    <w:rsid w:val="008B2808"/>
    <w:rsid w:val="008B361A"/>
    <w:rsid w:val="008C0485"/>
    <w:rsid w:val="008C1ECD"/>
    <w:rsid w:val="008C3B39"/>
    <w:rsid w:val="008C562A"/>
    <w:rsid w:val="008C5B77"/>
    <w:rsid w:val="008D5CCA"/>
    <w:rsid w:val="008E0372"/>
    <w:rsid w:val="008E234D"/>
    <w:rsid w:val="008E2AFF"/>
    <w:rsid w:val="008F0062"/>
    <w:rsid w:val="008F0334"/>
    <w:rsid w:val="008F1DC6"/>
    <w:rsid w:val="008F1E56"/>
    <w:rsid w:val="008F6927"/>
    <w:rsid w:val="00911F34"/>
    <w:rsid w:val="00913CD3"/>
    <w:rsid w:val="009161E1"/>
    <w:rsid w:val="00921BF8"/>
    <w:rsid w:val="00930776"/>
    <w:rsid w:val="009329E4"/>
    <w:rsid w:val="00935782"/>
    <w:rsid w:val="009405D8"/>
    <w:rsid w:val="00945B67"/>
    <w:rsid w:val="00946368"/>
    <w:rsid w:val="009510BC"/>
    <w:rsid w:val="009548E5"/>
    <w:rsid w:val="009611B5"/>
    <w:rsid w:val="009631B7"/>
    <w:rsid w:val="00963B2B"/>
    <w:rsid w:val="0096605A"/>
    <w:rsid w:val="0096688B"/>
    <w:rsid w:val="00966BF8"/>
    <w:rsid w:val="009678C3"/>
    <w:rsid w:val="00973CF9"/>
    <w:rsid w:val="009818BF"/>
    <w:rsid w:val="00981B1E"/>
    <w:rsid w:val="0098490E"/>
    <w:rsid w:val="0098581A"/>
    <w:rsid w:val="009900BC"/>
    <w:rsid w:val="00992C3B"/>
    <w:rsid w:val="00993507"/>
    <w:rsid w:val="00993714"/>
    <w:rsid w:val="00994126"/>
    <w:rsid w:val="0099597A"/>
    <w:rsid w:val="00996A30"/>
    <w:rsid w:val="009A5BE7"/>
    <w:rsid w:val="009B098F"/>
    <w:rsid w:val="009B0BA7"/>
    <w:rsid w:val="009B15A6"/>
    <w:rsid w:val="009B4323"/>
    <w:rsid w:val="009B566D"/>
    <w:rsid w:val="009C5EAE"/>
    <w:rsid w:val="009D1805"/>
    <w:rsid w:val="009D4888"/>
    <w:rsid w:val="009D5C4A"/>
    <w:rsid w:val="009D654B"/>
    <w:rsid w:val="009E17C2"/>
    <w:rsid w:val="009E401F"/>
    <w:rsid w:val="009E4E3C"/>
    <w:rsid w:val="009E664C"/>
    <w:rsid w:val="009F0AD7"/>
    <w:rsid w:val="009F4036"/>
    <w:rsid w:val="009F4E9B"/>
    <w:rsid w:val="00A00018"/>
    <w:rsid w:val="00A00A1B"/>
    <w:rsid w:val="00A00F16"/>
    <w:rsid w:val="00A136C2"/>
    <w:rsid w:val="00A1530B"/>
    <w:rsid w:val="00A15826"/>
    <w:rsid w:val="00A15E94"/>
    <w:rsid w:val="00A20149"/>
    <w:rsid w:val="00A216B8"/>
    <w:rsid w:val="00A30A3D"/>
    <w:rsid w:val="00A37F6B"/>
    <w:rsid w:val="00A46444"/>
    <w:rsid w:val="00A47A16"/>
    <w:rsid w:val="00A51A53"/>
    <w:rsid w:val="00A52298"/>
    <w:rsid w:val="00A5270A"/>
    <w:rsid w:val="00A52B51"/>
    <w:rsid w:val="00A52F33"/>
    <w:rsid w:val="00A559B0"/>
    <w:rsid w:val="00A604FA"/>
    <w:rsid w:val="00A629CF"/>
    <w:rsid w:val="00A70111"/>
    <w:rsid w:val="00A70D2C"/>
    <w:rsid w:val="00A72118"/>
    <w:rsid w:val="00A7591D"/>
    <w:rsid w:val="00A778E4"/>
    <w:rsid w:val="00A91472"/>
    <w:rsid w:val="00A93EFF"/>
    <w:rsid w:val="00AA393B"/>
    <w:rsid w:val="00AB26FE"/>
    <w:rsid w:val="00AB3E45"/>
    <w:rsid w:val="00AC3352"/>
    <w:rsid w:val="00AC5217"/>
    <w:rsid w:val="00AC6B0F"/>
    <w:rsid w:val="00AD22BF"/>
    <w:rsid w:val="00AD2790"/>
    <w:rsid w:val="00AE3F3F"/>
    <w:rsid w:val="00AE608B"/>
    <w:rsid w:val="00AE6BE7"/>
    <w:rsid w:val="00AE6EF3"/>
    <w:rsid w:val="00AF4030"/>
    <w:rsid w:val="00AF6C33"/>
    <w:rsid w:val="00B03375"/>
    <w:rsid w:val="00B03AA5"/>
    <w:rsid w:val="00B05B16"/>
    <w:rsid w:val="00B07B14"/>
    <w:rsid w:val="00B12882"/>
    <w:rsid w:val="00B14F88"/>
    <w:rsid w:val="00B15496"/>
    <w:rsid w:val="00B22F84"/>
    <w:rsid w:val="00B23D9C"/>
    <w:rsid w:val="00B25B22"/>
    <w:rsid w:val="00B51984"/>
    <w:rsid w:val="00B51ABA"/>
    <w:rsid w:val="00B51AF4"/>
    <w:rsid w:val="00B52D07"/>
    <w:rsid w:val="00B53E5B"/>
    <w:rsid w:val="00B54D39"/>
    <w:rsid w:val="00B56DC2"/>
    <w:rsid w:val="00B57035"/>
    <w:rsid w:val="00B603BF"/>
    <w:rsid w:val="00B61E56"/>
    <w:rsid w:val="00B626B2"/>
    <w:rsid w:val="00B70746"/>
    <w:rsid w:val="00B7516D"/>
    <w:rsid w:val="00B7710B"/>
    <w:rsid w:val="00B7778C"/>
    <w:rsid w:val="00B865CF"/>
    <w:rsid w:val="00B90FD0"/>
    <w:rsid w:val="00B92DB4"/>
    <w:rsid w:val="00B93892"/>
    <w:rsid w:val="00B954BE"/>
    <w:rsid w:val="00BA3BB8"/>
    <w:rsid w:val="00BA488D"/>
    <w:rsid w:val="00BA5894"/>
    <w:rsid w:val="00BA73D9"/>
    <w:rsid w:val="00BB0013"/>
    <w:rsid w:val="00BB0450"/>
    <w:rsid w:val="00BB09C0"/>
    <w:rsid w:val="00BB1212"/>
    <w:rsid w:val="00BC149C"/>
    <w:rsid w:val="00BC4CF6"/>
    <w:rsid w:val="00BD0917"/>
    <w:rsid w:val="00BD205F"/>
    <w:rsid w:val="00BD6D4F"/>
    <w:rsid w:val="00BE0B0F"/>
    <w:rsid w:val="00BE4CF2"/>
    <w:rsid w:val="00BE62FD"/>
    <w:rsid w:val="00BE7007"/>
    <w:rsid w:val="00BF1103"/>
    <w:rsid w:val="00BF16D0"/>
    <w:rsid w:val="00C03340"/>
    <w:rsid w:val="00C04D52"/>
    <w:rsid w:val="00C13155"/>
    <w:rsid w:val="00C14028"/>
    <w:rsid w:val="00C15677"/>
    <w:rsid w:val="00C20D50"/>
    <w:rsid w:val="00C2228F"/>
    <w:rsid w:val="00C2550B"/>
    <w:rsid w:val="00C31AD2"/>
    <w:rsid w:val="00C370A1"/>
    <w:rsid w:val="00C370D6"/>
    <w:rsid w:val="00C40751"/>
    <w:rsid w:val="00C45822"/>
    <w:rsid w:val="00C52BEB"/>
    <w:rsid w:val="00C539A0"/>
    <w:rsid w:val="00C6699A"/>
    <w:rsid w:val="00C705FF"/>
    <w:rsid w:val="00C723A5"/>
    <w:rsid w:val="00C72761"/>
    <w:rsid w:val="00C81C33"/>
    <w:rsid w:val="00C940A6"/>
    <w:rsid w:val="00CA1655"/>
    <w:rsid w:val="00CA615B"/>
    <w:rsid w:val="00CB2109"/>
    <w:rsid w:val="00CB5F82"/>
    <w:rsid w:val="00CC0871"/>
    <w:rsid w:val="00CC08C5"/>
    <w:rsid w:val="00CC4EF8"/>
    <w:rsid w:val="00CC6C0E"/>
    <w:rsid w:val="00CD2A65"/>
    <w:rsid w:val="00CD3049"/>
    <w:rsid w:val="00CD46AB"/>
    <w:rsid w:val="00CD721C"/>
    <w:rsid w:val="00CE24AE"/>
    <w:rsid w:val="00CE441F"/>
    <w:rsid w:val="00CF3ABE"/>
    <w:rsid w:val="00CF496B"/>
    <w:rsid w:val="00CF6C08"/>
    <w:rsid w:val="00D00BB1"/>
    <w:rsid w:val="00D02A80"/>
    <w:rsid w:val="00D13A5C"/>
    <w:rsid w:val="00D17A6E"/>
    <w:rsid w:val="00D17CD0"/>
    <w:rsid w:val="00D23098"/>
    <w:rsid w:val="00D24D0F"/>
    <w:rsid w:val="00D24F20"/>
    <w:rsid w:val="00D27C05"/>
    <w:rsid w:val="00D301A0"/>
    <w:rsid w:val="00D305E7"/>
    <w:rsid w:val="00D31485"/>
    <w:rsid w:val="00D31EF7"/>
    <w:rsid w:val="00D41F58"/>
    <w:rsid w:val="00D513C0"/>
    <w:rsid w:val="00D52AE4"/>
    <w:rsid w:val="00D52E23"/>
    <w:rsid w:val="00D55336"/>
    <w:rsid w:val="00D554EC"/>
    <w:rsid w:val="00D55A82"/>
    <w:rsid w:val="00D60820"/>
    <w:rsid w:val="00D608C5"/>
    <w:rsid w:val="00D64296"/>
    <w:rsid w:val="00D64C11"/>
    <w:rsid w:val="00D65949"/>
    <w:rsid w:val="00D65993"/>
    <w:rsid w:val="00D734D5"/>
    <w:rsid w:val="00D80A5A"/>
    <w:rsid w:val="00D862AA"/>
    <w:rsid w:val="00D929B1"/>
    <w:rsid w:val="00D95835"/>
    <w:rsid w:val="00D96794"/>
    <w:rsid w:val="00DA3E34"/>
    <w:rsid w:val="00DA5A74"/>
    <w:rsid w:val="00DA66D3"/>
    <w:rsid w:val="00DB1580"/>
    <w:rsid w:val="00DB2461"/>
    <w:rsid w:val="00DC4428"/>
    <w:rsid w:val="00DC5FE3"/>
    <w:rsid w:val="00DD1194"/>
    <w:rsid w:val="00DD136C"/>
    <w:rsid w:val="00DD2628"/>
    <w:rsid w:val="00DE1871"/>
    <w:rsid w:val="00DE28F0"/>
    <w:rsid w:val="00DE2CDA"/>
    <w:rsid w:val="00DE456E"/>
    <w:rsid w:val="00DF4087"/>
    <w:rsid w:val="00DF5021"/>
    <w:rsid w:val="00DF751B"/>
    <w:rsid w:val="00DF790F"/>
    <w:rsid w:val="00E0225F"/>
    <w:rsid w:val="00E06D90"/>
    <w:rsid w:val="00E10DED"/>
    <w:rsid w:val="00E144AE"/>
    <w:rsid w:val="00E17806"/>
    <w:rsid w:val="00E25964"/>
    <w:rsid w:val="00E266A3"/>
    <w:rsid w:val="00E3140E"/>
    <w:rsid w:val="00E33453"/>
    <w:rsid w:val="00E36BC8"/>
    <w:rsid w:val="00E37D51"/>
    <w:rsid w:val="00E40FCA"/>
    <w:rsid w:val="00E423E0"/>
    <w:rsid w:val="00E42643"/>
    <w:rsid w:val="00E43AE9"/>
    <w:rsid w:val="00E46F13"/>
    <w:rsid w:val="00E5031C"/>
    <w:rsid w:val="00E57EDD"/>
    <w:rsid w:val="00E60E9C"/>
    <w:rsid w:val="00E627D6"/>
    <w:rsid w:val="00E648EA"/>
    <w:rsid w:val="00E64BCD"/>
    <w:rsid w:val="00E7041C"/>
    <w:rsid w:val="00E70AC9"/>
    <w:rsid w:val="00E75D6E"/>
    <w:rsid w:val="00E83B39"/>
    <w:rsid w:val="00E83CE9"/>
    <w:rsid w:val="00E87836"/>
    <w:rsid w:val="00E87CEB"/>
    <w:rsid w:val="00E92214"/>
    <w:rsid w:val="00EA189D"/>
    <w:rsid w:val="00EA7641"/>
    <w:rsid w:val="00EB2264"/>
    <w:rsid w:val="00EB3578"/>
    <w:rsid w:val="00EC07F6"/>
    <w:rsid w:val="00EC2548"/>
    <w:rsid w:val="00EC2C19"/>
    <w:rsid w:val="00EC4075"/>
    <w:rsid w:val="00EC518E"/>
    <w:rsid w:val="00ED0846"/>
    <w:rsid w:val="00EE095F"/>
    <w:rsid w:val="00EE13FE"/>
    <w:rsid w:val="00EE1C18"/>
    <w:rsid w:val="00EE2599"/>
    <w:rsid w:val="00EE411A"/>
    <w:rsid w:val="00EE541D"/>
    <w:rsid w:val="00EE5EA5"/>
    <w:rsid w:val="00EE7DBE"/>
    <w:rsid w:val="00EF03C7"/>
    <w:rsid w:val="00F05006"/>
    <w:rsid w:val="00F14664"/>
    <w:rsid w:val="00F1570B"/>
    <w:rsid w:val="00F25286"/>
    <w:rsid w:val="00F26704"/>
    <w:rsid w:val="00F336C9"/>
    <w:rsid w:val="00F40A88"/>
    <w:rsid w:val="00F41715"/>
    <w:rsid w:val="00F46C3F"/>
    <w:rsid w:val="00F51D06"/>
    <w:rsid w:val="00F53CA2"/>
    <w:rsid w:val="00F546F9"/>
    <w:rsid w:val="00F570ED"/>
    <w:rsid w:val="00F649D2"/>
    <w:rsid w:val="00F713E2"/>
    <w:rsid w:val="00F72FA9"/>
    <w:rsid w:val="00F7664B"/>
    <w:rsid w:val="00F807AD"/>
    <w:rsid w:val="00F80F47"/>
    <w:rsid w:val="00F94AB3"/>
    <w:rsid w:val="00F9564D"/>
    <w:rsid w:val="00F97B53"/>
    <w:rsid w:val="00FA0C00"/>
    <w:rsid w:val="00FA21BA"/>
    <w:rsid w:val="00FA2C54"/>
    <w:rsid w:val="00FB0ABB"/>
    <w:rsid w:val="00FB2591"/>
    <w:rsid w:val="00FB78FE"/>
    <w:rsid w:val="00FC1328"/>
    <w:rsid w:val="00FC4C50"/>
    <w:rsid w:val="00FC5BB8"/>
    <w:rsid w:val="00FD6E48"/>
    <w:rsid w:val="00FE0E79"/>
    <w:rsid w:val="00FF073C"/>
    <w:rsid w:val="00FF63A2"/>
    <w:rsid w:val="00FF755A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docId w15:val="{5BFAEAD2-4D65-47EE-A495-1FF793C3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24A7"/>
    <w:pPr>
      <w:spacing w:after="0" w:line="240" w:lineRule="atLeast"/>
    </w:pPr>
    <w:rPr>
      <w:rFonts w:ascii="Arial Narrow" w:hAnsi="Arial Narrow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26704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26704"/>
    <w:pPr>
      <w:keepNext/>
      <w:keepLines/>
      <w:spacing w:before="200" w:after="120"/>
      <w:outlineLvl w:val="1"/>
    </w:pPr>
    <w:rPr>
      <w:rFonts w:ascii="Verdana" w:eastAsiaTheme="majorEastAsia" w:hAnsi="Verdana" w:cstheme="majorBidi"/>
      <w:b/>
      <w:bCs/>
      <w:color w:val="4F81BD" w:themeColor="accen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26704"/>
    <w:pPr>
      <w:keepNext/>
      <w:keepLines/>
      <w:spacing w:before="200"/>
      <w:jc w:val="both"/>
      <w:outlineLvl w:val="2"/>
    </w:pPr>
    <w:rPr>
      <w:rFonts w:ascii="Verdana" w:eastAsiaTheme="majorEastAsia" w:hAnsi="Verdana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26704"/>
    <w:pPr>
      <w:keepNext/>
      <w:keepLines/>
      <w:spacing w:before="200"/>
      <w:outlineLvl w:val="3"/>
    </w:pPr>
    <w:rPr>
      <w:rFonts w:ascii="Verdana" w:eastAsiaTheme="majorEastAsia" w:hAnsi="Verdana" w:cstheme="majorBidi"/>
      <w:b/>
      <w:bCs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267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26704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26704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26704"/>
    <w:rPr>
      <w:rFonts w:ascii="Verdana" w:eastAsiaTheme="majorEastAsia" w:hAnsi="Verdana" w:cstheme="majorBidi"/>
      <w:b/>
      <w:bCs/>
      <w:color w:val="4F81BD" w:themeColor="accent1"/>
      <w:sz w:val="24"/>
      <w:szCs w:val="2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E24A7"/>
    <w:pPr>
      <w:spacing w:line="276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9E401F"/>
    <w:pPr>
      <w:tabs>
        <w:tab w:val="right" w:leader="dot" w:pos="9062"/>
      </w:tabs>
      <w:spacing w:line="260" w:lineRule="atLeast"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2178CC"/>
    <w:pPr>
      <w:tabs>
        <w:tab w:val="left" w:pos="567"/>
        <w:tab w:val="left" w:pos="709"/>
        <w:tab w:val="right" w:leader="dot" w:pos="9062"/>
      </w:tabs>
      <w:spacing w:line="260" w:lineRule="atLeast"/>
      <w:ind w:left="284" w:firstLine="142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7E24A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24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24A7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26704"/>
    <w:rPr>
      <w:rFonts w:ascii="Verdana" w:eastAsiaTheme="majorEastAsia" w:hAnsi="Verdana" w:cstheme="majorBidi"/>
      <w:b/>
      <w:bCs/>
      <w:color w:val="4F81BD" w:themeColor="accent1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1C00D9"/>
    <w:pPr>
      <w:tabs>
        <w:tab w:val="right" w:leader="dot" w:pos="9062"/>
      </w:tabs>
      <w:ind w:left="442"/>
    </w:pPr>
  </w:style>
  <w:style w:type="paragraph" w:styleId="Listenabsatz">
    <w:name w:val="List Paragraph"/>
    <w:basedOn w:val="Standard"/>
    <w:uiPriority w:val="34"/>
    <w:qFormat/>
    <w:rsid w:val="0085784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C048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0485"/>
    <w:rPr>
      <w:rFonts w:ascii="Arial Narrow" w:hAnsi="Arial Narrow"/>
    </w:rPr>
  </w:style>
  <w:style w:type="paragraph" w:styleId="Fuzeile">
    <w:name w:val="footer"/>
    <w:basedOn w:val="Standard"/>
    <w:link w:val="FuzeileZchn"/>
    <w:uiPriority w:val="99"/>
    <w:unhideWhenUsed/>
    <w:rsid w:val="008C048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0485"/>
    <w:rPr>
      <w:rFonts w:ascii="Arial Narrow" w:hAnsi="Arial Narrow"/>
    </w:rPr>
  </w:style>
  <w:style w:type="character" w:styleId="Kommentarzeichen">
    <w:name w:val="annotation reference"/>
    <w:basedOn w:val="Absatz-Standardschriftart"/>
    <w:unhideWhenUsed/>
    <w:rsid w:val="000D125F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0D125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D125F"/>
    <w:rPr>
      <w:rFonts w:ascii="Arial Narrow" w:hAnsi="Arial Narrow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12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125F"/>
    <w:rPr>
      <w:rFonts w:ascii="Arial Narrow" w:hAnsi="Arial Narrow"/>
      <w:b/>
      <w:bCs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26704"/>
    <w:rPr>
      <w:rFonts w:ascii="Verdana" w:eastAsiaTheme="majorEastAsia" w:hAnsi="Verdana" w:cstheme="majorBidi"/>
      <w:b/>
      <w:bCs/>
      <w:iCs/>
      <w:color w:val="4F81BD" w:themeColor="accent1"/>
    </w:rPr>
  </w:style>
  <w:style w:type="table" w:styleId="Tabellenraster">
    <w:name w:val="Table Grid"/>
    <w:basedOn w:val="NormaleTabelle"/>
    <w:uiPriority w:val="39"/>
    <w:rsid w:val="00654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F570ED"/>
    <w:pPr>
      <w:tabs>
        <w:tab w:val="left" w:pos="567"/>
      </w:tabs>
      <w:spacing w:line="240" w:lineRule="auto"/>
      <w:ind w:left="567" w:hanging="567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F570ED"/>
    <w:rPr>
      <w:rFonts w:ascii="Arial Narrow" w:eastAsia="Times New Roman" w:hAnsi="Arial Narrow" w:cs="Times New Roman"/>
      <w:sz w:val="20"/>
      <w:szCs w:val="20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1F4F4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3B59B4"/>
    <w:pPr>
      <w:spacing w:line="240" w:lineRule="auto"/>
    </w:pPr>
    <w:rPr>
      <w:rFonts w:ascii="Times New Roman" w:eastAsia="Calibri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enstleistungsportal.uni-rostock.de/corona-sonderinformationen/studium-und-digitale-lehre/hinweise-zu-selbsttests-fuer-studierende/" TargetMode="External"/><Relationship Id="rId13" Type="http://schemas.openxmlformats.org/officeDocument/2006/relationships/hyperlink" Target="https://www.dienstleistungsportal.uni-rostock.de/corona-sonderinformationen/studium-und-digitale-lehre/hinweise-zu-selbsttests-fuer-studieren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ienstleistungsportal.uni-rostock.de/corona-sonderinformationen/studium-und-digitale-lehre/hinweise-zu-selbsttests-fuer-studierend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ienstleistungsportal.uni-rostock.de/storages/uni-rostock/UniHome/Verwaltung/Intranet/Corona_Sonderinformationen/Studium_und_Digitale_Lehre/Selbsttests-Anlage1eng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dienstleistungsportal.uni-rostock.de/storages/uni-rostock/UniHome/Verwaltung/Intranet/Corona_Sonderinformationen/Studium_und_Digitale_Lehre/Selbsttests-Anlage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ienstleistungsportal.uni-rostock.de/corona-sonderinformationen/studium-und-digitale-lehre/hinweise-zu-selbsttests-fuer-studierend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28A97-A43A-427D-8956-0F9EDEDEF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4302</Characters>
  <Application>Microsoft Office Word</Application>
  <DocSecurity>4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Rostock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Antje Mayer</dc:creator>
  <cp:lastModifiedBy>Isabelle Turinsky</cp:lastModifiedBy>
  <cp:revision>2</cp:revision>
  <cp:lastPrinted>2016-09-28T16:16:00Z</cp:lastPrinted>
  <dcterms:created xsi:type="dcterms:W3CDTF">2021-09-15T11:29:00Z</dcterms:created>
  <dcterms:modified xsi:type="dcterms:W3CDTF">2021-09-15T11:29:00Z</dcterms:modified>
</cp:coreProperties>
</file>